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Ortezzano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Fermo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